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bCs/>
          <w:spacing w:val="20"/>
          <w:sz w:val="32"/>
          <w:szCs w:val="32"/>
        </w:rPr>
      </w:pPr>
      <w:r>
        <w:rPr>
          <w:rFonts w:hint="eastAsia"/>
          <w:b/>
          <w:sz w:val="32"/>
          <w:szCs w:val="32"/>
        </w:rPr>
        <w:t>评分办法</w:t>
      </w:r>
      <w:bookmarkStart w:id="0" w:name="_GoBack"/>
      <w:bookmarkEnd w:id="0"/>
    </w:p>
    <w:p>
      <w:pPr>
        <w:adjustRightInd w:val="0"/>
        <w:snapToGrid w:val="0"/>
        <w:spacing w:line="400" w:lineRule="exact"/>
        <w:ind w:firstLine="200"/>
        <w:jc w:val="center"/>
        <w:rPr>
          <w:rFonts w:hint="eastAsia" w:ascii="仿宋_GB2312" w:hAnsi="宋体" w:eastAsia="仿宋_GB2312"/>
          <w:color w:val="FFFFFF"/>
          <w:spacing w:val="20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color w:val="FFFFFF"/>
          <w:sz w:val="30"/>
          <w:szCs w:val="30"/>
        </w:rPr>
        <w:t>附：2018黄石旅游火车项目监理费用计算依据</w:t>
      </w:r>
    </w:p>
    <w:tbl>
      <w:tblPr>
        <w:tblStyle w:val="2"/>
        <w:tblpPr w:leftFromText="180" w:rightFromText="180" w:vertAnchor="text" w:horzAnchor="margin" w:tblpXSpec="center" w:tblpY="253"/>
        <w:tblOverlap w:val="never"/>
        <w:tblW w:w="101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700"/>
        <w:gridCol w:w="884"/>
        <w:gridCol w:w="5983"/>
        <w:gridCol w:w="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92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w w:val="90"/>
                <w:sz w:val="24"/>
              </w:rPr>
            </w:pPr>
            <w:r>
              <w:rPr>
                <w:rFonts w:hint="eastAsia" w:ascii="仿宋" w:hAnsi="仿宋" w:eastAsia="仿宋"/>
                <w:b/>
                <w:w w:val="90"/>
                <w:sz w:val="24"/>
              </w:rPr>
              <w:t>序号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w w:val="90"/>
                <w:sz w:val="24"/>
              </w:rPr>
            </w:pPr>
            <w:r>
              <w:rPr>
                <w:rFonts w:hint="eastAsia" w:ascii="仿宋" w:hAnsi="仿宋" w:eastAsia="仿宋"/>
                <w:b/>
                <w:w w:val="90"/>
                <w:sz w:val="24"/>
              </w:rPr>
              <w:t>评分因素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w w:val="90"/>
                <w:sz w:val="24"/>
              </w:rPr>
            </w:pPr>
            <w:r>
              <w:rPr>
                <w:rFonts w:hint="eastAsia" w:ascii="仿宋" w:hAnsi="仿宋" w:eastAsia="仿宋"/>
                <w:b/>
                <w:w w:val="90"/>
                <w:sz w:val="24"/>
              </w:rPr>
              <w:t>分值</w:t>
            </w:r>
          </w:p>
        </w:tc>
        <w:tc>
          <w:tcPr>
            <w:tcW w:w="5983" w:type="dxa"/>
            <w:noWrap w:val="0"/>
            <w:vAlign w:val="center"/>
          </w:tcPr>
          <w:p>
            <w:pPr>
              <w:snapToGrid w:val="0"/>
              <w:spacing w:line="440" w:lineRule="exact"/>
              <w:ind w:left="420" w:leftChars="200" w:firstLine="108" w:firstLineChars="50"/>
              <w:jc w:val="center"/>
              <w:rPr>
                <w:rFonts w:ascii="仿宋" w:hAnsi="仿宋" w:eastAsia="仿宋"/>
                <w:b/>
                <w:w w:val="90"/>
                <w:sz w:val="24"/>
              </w:rPr>
            </w:pPr>
            <w:r>
              <w:rPr>
                <w:rFonts w:hint="eastAsia" w:ascii="仿宋" w:hAnsi="仿宋" w:eastAsia="仿宋"/>
                <w:b/>
                <w:w w:val="90"/>
                <w:sz w:val="24"/>
              </w:rPr>
              <w:t>评审标准</w:t>
            </w:r>
          </w:p>
        </w:tc>
        <w:tc>
          <w:tcPr>
            <w:tcW w:w="788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w w:val="90"/>
                <w:sz w:val="24"/>
              </w:rPr>
            </w:pPr>
            <w:r>
              <w:rPr>
                <w:rFonts w:hint="eastAsia" w:ascii="仿宋" w:hAnsi="仿宋" w:eastAsia="仿宋"/>
                <w:b/>
                <w:w w:val="9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792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报价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35</w:t>
            </w:r>
          </w:p>
        </w:tc>
        <w:tc>
          <w:tcPr>
            <w:tcW w:w="5983" w:type="dxa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基准价的确定：</w:t>
            </w:r>
          </w:p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基准价为各有效报价中去掉最高和最低报价后的算术平均值。若有效报价少于五家（不含五家）时，则以所有有效投标报价的算术平均值为基准价。</w:t>
            </w:r>
          </w:p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得分评定标准：</w:t>
            </w:r>
          </w:p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以基准价为基数（Q），投标人投标报价（T）等于基准价的得满分35分，每高于基准价1%扣2分[得分=40-（T-Q）/Q</w:t>
            </w:r>
            <w:r>
              <w:rPr>
                <w:rFonts w:ascii="仿宋" w:hAnsi="仿宋" w:eastAsia="仿宋"/>
                <w:w w:val="90"/>
                <w:sz w:val="24"/>
              </w:rPr>
              <w:t>×</w:t>
            </w:r>
            <w:r>
              <w:rPr>
                <w:rFonts w:hint="eastAsia" w:ascii="仿宋" w:hAnsi="仿宋" w:eastAsia="仿宋"/>
                <w:w w:val="90"/>
                <w:sz w:val="24"/>
              </w:rPr>
              <w:t>100</w:t>
            </w:r>
            <w:r>
              <w:rPr>
                <w:rFonts w:ascii="仿宋" w:hAnsi="仿宋" w:eastAsia="仿宋"/>
                <w:w w:val="90"/>
                <w:sz w:val="24"/>
              </w:rPr>
              <w:t>×</w:t>
            </w:r>
            <w:r>
              <w:rPr>
                <w:rFonts w:hint="eastAsia" w:ascii="仿宋" w:hAnsi="仿宋" w:eastAsia="仿宋"/>
                <w:w w:val="90"/>
                <w:sz w:val="24"/>
              </w:rPr>
              <w:t>2]，最多扣35分，每低于基准价1%扣1分[得分=40-（Q-T）/Q</w:t>
            </w:r>
            <w:r>
              <w:rPr>
                <w:rFonts w:ascii="仿宋" w:hAnsi="仿宋" w:eastAsia="仿宋"/>
                <w:w w:val="90"/>
                <w:sz w:val="24"/>
              </w:rPr>
              <w:t>×</w:t>
            </w:r>
            <w:r>
              <w:rPr>
                <w:rFonts w:hint="eastAsia" w:ascii="仿宋" w:hAnsi="仿宋" w:eastAsia="仿宋"/>
                <w:w w:val="90"/>
                <w:sz w:val="24"/>
              </w:rPr>
              <w:t>100</w:t>
            </w:r>
            <w:r>
              <w:rPr>
                <w:rFonts w:ascii="仿宋" w:hAnsi="仿宋" w:eastAsia="仿宋"/>
                <w:w w:val="90"/>
                <w:sz w:val="24"/>
              </w:rPr>
              <w:t>×</w:t>
            </w:r>
            <w:r>
              <w:rPr>
                <w:rFonts w:hint="eastAsia" w:ascii="仿宋" w:hAnsi="仿宋" w:eastAsia="仿宋"/>
                <w:w w:val="90"/>
                <w:sz w:val="24"/>
              </w:rPr>
              <w:t>1]，最多扣35分。</w:t>
            </w:r>
          </w:p>
        </w:tc>
        <w:tc>
          <w:tcPr>
            <w:tcW w:w="788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92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总监业绩及其他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20</w:t>
            </w:r>
          </w:p>
        </w:tc>
        <w:tc>
          <w:tcPr>
            <w:tcW w:w="5983" w:type="dxa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1、总监近三年监理过市政工程监理业绩，一项得5分，每增加一项加5分，最多得10分，无监理业绩的不记分。（业绩提供监理合同复印件）</w:t>
            </w:r>
          </w:p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2、总监具有市政公用工程专业一级建造师注册证的得5分，其他专业一级建造师不得分。</w:t>
            </w:r>
          </w:p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3、总监具有注册造价工程师注册证得5分。</w:t>
            </w:r>
          </w:p>
        </w:tc>
        <w:tc>
          <w:tcPr>
            <w:tcW w:w="788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/>
                <w:w w:val="9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792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现场监理人员情况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15</w:t>
            </w:r>
          </w:p>
        </w:tc>
        <w:tc>
          <w:tcPr>
            <w:tcW w:w="5983" w:type="dxa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1、现场配备土建、市政、造价、安全专业监理工程师，每人得1分，最多得4分。</w:t>
            </w:r>
          </w:p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2、现场配备国家注册安全工程师的得5分。</w:t>
            </w:r>
          </w:p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3、现场配备的专业监理工程师，近三年获得过省级及以上的优秀监理工程师得每人每次得3分，最多得6分。</w:t>
            </w:r>
          </w:p>
        </w:tc>
        <w:tc>
          <w:tcPr>
            <w:tcW w:w="788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/>
                <w:w w:val="9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792" w:type="dxa"/>
            <w:noWrap w:val="0"/>
            <w:vAlign w:val="center"/>
          </w:tcPr>
          <w:p>
            <w:pPr>
              <w:snapToGrid w:val="0"/>
              <w:spacing w:line="440" w:lineRule="exact"/>
              <w:ind w:firstLine="108" w:firstLineChars="50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投标人业绩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2" w:firstLineChars="15"/>
              <w:jc w:val="center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30</w:t>
            </w:r>
          </w:p>
        </w:tc>
        <w:tc>
          <w:tcPr>
            <w:tcW w:w="5983" w:type="dxa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投标人近三年监理的市政工程监理业绩，一项得10分，每增加一项加5分，最多得30分，无监理业绩的不得分。（业绩提供监理合同及竣工验收证书复印件）</w:t>
            </w:r>
          </w:p>
        </w:tc>
        <w:tc>
          <w:tcPr>
            <w:tcW w:w="788" w:type="dxa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/>
                <w:w w:val="90"/>
                <w:sz w:val="20"/>
                <w:szCs w:val="20"/>
              </w:rPr>
            </w:pPr>
          </w:p>
        </w:tc>
      </w:tr>
    </w:tbl>
    <w:p>
      <w:pPr>
        <w:adjustRightInd w:val="0"/>
        <w:snapToGrid w:val="0"/>
        <w:spacing w:line="400" w:lineRule="exact"/>
        <w:ind w:firstLine="200"/>
        <w:jc w:val="left"/>
        <w:rPr>
          <w:rFonts w:hint="eastAsia" w:ascii="仿宋_GB2312" w:hAnsi="宋体" w:eastAsia="仿宋_GB2312"/>
          <w:color w:val="FFFFFF"/>
          <w:spacing w:val="20"/>
          <w:sz w:val="30"/>
          <w:szCs w:val="30"/>
        </w:rPr>
      </w:pPr>
    </w:p>
    <w:p>
      <w:r>
        <w:rPr>
          <w:rFonts w:hint="eastAsia" w:ascii="宋体" w:hAnsi="宋体"/>
          <w:color w:val="FFFFFF"/>
          <w:spacing w:val="20"/>
          <w:sz w:val="32"/>
          <w:szCs w:val="32"/>
        </w:rPr>
        <w:t>地区：湖北---依据国家发展改革委、建设部印发的《)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D6416"/>
    <w:rsid w:val="627D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2019-04-02T09:50:00Z</dcterms:created>
  <dc:creator>吴晤捂唔梧吾悟</dc:creator>
  <cp:lastModifiedBy>吴晤捂唔梧吾悟</cp:lastModifiedBy>
  <dcterms:modified xsi:type="dcterms:W3CDTF">2019-04-02T09:50:37Z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